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A3A40" w14:textId="77777777" w:rsidR="00B5258A" w:rsidRPr="0028440D" w:rsidRDefault="00A46923">
      <w:pPr>
        <w:spacing w:before="280" w:after="280" w:line="240" w:lineRule="auto"/>
        <w:rPr>
          <w:rFonts w:ascii="Times New Roman" w:eastAsia="Palatino Linotype" w:hAnsi="Times New Roman" w:cs="Times New Roman"/>
          <w:i/>
          <w:sz w:val="24"/>
          <w:szCs w:val="24"/>
        </w:rPr>
      </w:pPr>
      <w:r w:rsidRPr="0028440D">
        <w:rPr>
          <w:rFonts w:ascii="Times New Roman" w:eastAsia="Palatino Linotype" w:hAnsi="Times New Roman" w:cs="Times New Roman"/>
          <w:b/>
          <w:sz w:val="24"/>
          <w:szCs w:val="24"/>
        </w:rPr>
        <w:t xml:space="preserve">Supplementary </w:t>
      </w:r>
      <w:r w:rsidR="001659CB" w:rsidRPr="0028440D">
        <w:rPr>
          <w:rFonts w:ascii="Times New Roman" w:eastAsia="Palatino Linotype" w:hAnsi="Times New Roman" w:cs="Times New Roman"/>
          <w:b/>
          <w:sz w:val="24"/>
          <w:szCs w:val="24"/>
        </w:rPr>
        <w:t>Table 1D</w:t>
      </w:r>
      <w:r w:rsidR="001659CB" w:rsidRPr="0028440D">
        <w:rPr>
          <w:rFonts w:ascii="Times New Roman" w:eastAsia="Palatino Linotype" w:hAnsi="Times New Roman" w:cs="Times New Roman"/>
          <w:sz w:val="24"/>
          <w:szCs w:val="24"/>
        </w:rPr>
        <w:t xml:space="preserve">. Literature analysis after PICOS selection: summary of the studies and evidence grading for each study that reported </w:t>
      </w:r>
      <w:proofErr w:type="gramStart"/>
      <w:r w:rsidR="001659CB" w:rsidRPr="0028440D">
        <w:rPr>
          <w:rFonts w:ascii="Times New Roman" w:eastAsia="Palatino Linotype" w:hAnsi="Times New Roman" w:cs="Times New Roman"/>
          <w:sz w:val="24"/>
          <w:szCs w:val="24"/>
        </w:rPr>
        <w:t>fertility,  sexual</w:t>
      </w:r>
      <w:proofErr w:type="gramEnd"/>
      <w:r w:rsidR="001659CB" w:rsidRPr="0028440D">
        <w:rPr>
          <w:rFonts w:ascii="Times New Roman" w:eastAsia="Palatino Linotype" w:hAnsi="Times New Roman" w:cs="Times New Roman"/>
          <w:sz w:val="24"/>
          <w:szCs w:val="24"/>
        </w:rPr>
        <w:t xml:space="preserve"> function, side effects and risk of cancer of GnRHa treatment. </w:t>
      </w:r>
      <w:r w:rsidR="001659CB" w:rsidRPr="0028440D">
        <w:rPr>
          <w:rFonts w:ascii="Times New Roman" w:eastAsia="Palatino Linotype" w:hAnsi="Times New Roman" w:cs="Times New Roman"/>
          <w:i/>
          <w:sz w:val="24"/>
          <w:szCs w:val="24"/>
        </w:rPr>
        <w:t xml:space="preserve">Data are expressed as </w:t>
      </w:r>
      <w:proofErr w:type="spellStart"/>
      <w:r w:rsidR="001659CB" w:rsidRPr="0028440D">
        <w:rPr>
          <w:rFonts w:ascii="Times New Roman" w:eastAsia="Palatino Linotype" w:hAnsi="Times New Roman" w:cs="Times New Roman"/>
          <w:i/>
          <w:sz w:val="24"/>
          <w:szCs w:val="24"/>
        </w:rPr>
        <w:t>mean±SD</w:t>
      </w:r>
      <w:proofErr w:type="spellEnd"/>
      <w:r w:rsidR="001659CB" w:rsidRPr="0028440D">
        <w:rPr>
          <w:rFonts w:ascii="Times New Roman" w:eastAsia="Palatino Linotype" w:hAnsi="Times New Roman" w:cs="Times New Roman"/>
          <w:i/>
          <w:sz w:val="24"/>
          <w:szCs w:val="24"/>
        </w:rPr>
        <w:t xml:space="preserve">, unless otherwise stated.  </w:t>
      </w:r>
    </w:p>
    <w:p w14:paraId="3839AF86" w14:textId="77777777" w:rsidR="00481B45" w:rsidRPr="0028440D" w:rsidRDefault="00481B45" w:rsidP="00481B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28440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Abbreviations: AFAB: Assigned Female </w:t>
      </w:r>
      <w:proofErr w:type="gramStart"/>
      <w:r w:rsidRPr="0028440D">
        <w:rPr>
          <w:rFonts w:ascii="Times New Roman" w:eastAsia="Times New Roman" w:hAnsi="Times New Roman" w:cs="Times New Roman"/>
          <w:sz w:val="20"/>
          <w:szCs w:val="20"/>
          <w:lang w:val="en-US"/>
        </w:rPr>
        <w:t>At</w:t>
      </w:r>
      <w:proofErr w:type="gramEnd"/>
      <w:r w:rsidRPr="0028440D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Birth; AMAB: Assigned Male At Birth; GAHT: Gender Affirming Hormone Therapy; GD: Gender Dysphoria; NS: Not Significant; PICOS: Population, Intervention, Comparison, Outcome, Study Design; PS: Pubertal Suppression; SD: Standard Deviation</w:t>
      </w:r>
    </w:p>
    <w:p w14:paraId="180F6E57" w14:textId="77777777" w:rsidR="00481B45" w:rsidRPr="0028440D" w:rsidRDefault="00481B45" w:rsidP="00481B4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tbl>
      <w:tblPr>
        <w:tblStyle w:val="a"/>
        <w:tblW w:w="14846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1521"/>
        <w:gridCol w:w="1984"/>
        <w:gridCol w:w="1705"/>
        <w:gridCol w:w="1714"/>
        <w:gridCol w:w="4250"/>
        <w:gridCol w:w="1836"/>
        <w:gridCol w:w="1836"/>
      </w:tblGrid>
      <w:tr w:rsidR="0028440D" w:rsidRPr="0028440D" w14:paraId="21718B4B" w14:textId="77777777" w:rsidTr="00053FA3">
        <w:trPr>
          <w:trHeight w:val="688"/>
        </w:trPr>
        <w:tc>
          <w:tcPr>
            <w:tcW w:w="148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8BE19" w14:textId="77777777" w:rsidR="001659CB" w:rsidRPr="0028440D" w:rsidRDefault="001659CB" w:rsidP="001659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Fertility and sexual function</w:t>
            </w:r>
          </w:p>
        </w:tc>
      </w:tr>
      <w:tr w:rsidR="0028440D" w:rsidRPr="0028440D" w14:paraId="5DC6A0B8" w14:textId="77777777" w:rsidTr="00044D8D">
        <w:trPr>
          <w:trHeight w:val="688"/>
        </w:trPr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9774B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Study design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230D1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Sample, gender identity, age and comparator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7A115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Methods</w:t>
            </w:r>
          </w:p>
          <w:p w14:paraId="4FEB96B1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0EC14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Treatment (Range of age at start and mean duration)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D84B1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Outcomes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87ACE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Study limitations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BF805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Level of evidence</w:t>
            </w:r>
          </w:p>
        </w:tc>
      </w:tr>
      <w:tr w:rsidR="0028440D" w:rsidRPr="0028440D" w14:paraId="7414918B" w14:textId="77777777" w:rsidTr="00044D8D"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0A8EF" w14:textId="31AEF836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De </w:t>
            </w: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Nie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2022</w:t>
            </w:r>
            <w:r w:rsidR="001659CB" w:rsidRPr="0028440D">
              <w:rPr>
                <w:rFonts w:ascii="Times New Roman" w:eastAsia="Palatino Linotype" w:hAnsi="Times New Roman" w:cs="Times New Roman"/>
                <w:sz w:val="24"/>
                <w:szCs w:val="24"/>
                <w:vertAlign w:val="superscript"/>
              </w:rPr>
              <w:t>3</w:t>
            </w:r>
            <w:r w:rsidR="009E2B87">
              <w:rPr>
                <w:rFonts w:ascii="Times New Roman" w:eastAsia="Palatino Linotype" w:hAnsi="Times New Roman" w:cs="Times New Roman"/>
                <w:sz w:val="24"/>
                <w:szCs w:val="24"/>
                <w:vertAlign w:val="superscript"/>
              </w:rPr>
              <w:t>8</w:t>
            </w:r>
          </w:p>
          <w:p w14:paraId="222D967E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49F3260E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Retrospective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7CF77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214 AMAB (subdivided by Tanner stage at treatment initiation: Tanner stage 2-3, 4-5, adult)</w:t>
            </w:r>
          </w:p>
          <w:p w14:paraId="16AEBCAF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48893EBF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Age: 29.6 ± 12.4 y </w:t>
            </w:r>
          </w:p>
          <w:p w14:paraId="5438EF91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F/up: not reported</w:t>
            </w:r>
          </w:p>
          <w:p w14:paraId="274B60C6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Period: 2006-2018</w:t>
            </w:r>
          </w:p>
          <w:p w14:paraId="11CC5044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Region: Netherlands (Amsterdam)</w:t>
            </w:r>
          </w:p>
          <w:p w14:paraId="66300D5A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5C7D2EEE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No direct control group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E3641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Histological and immunohistochemical analyses of orchiectomy specimens to assess the presence and maturity of germ cells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34A2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78 GnRHa + GAHT</w:t>
            </w:r>
          </w:p>
          <w:p w14:paraId="7893D63B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5A8E9C27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136 only GAHT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</w:r>
          </w:p>
          <w:p w14:paraId="2C0974C9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Mean duration of medical treatment: 3.3 ± 2.0 y </w:t>
            </w:r>
          </w:p>
          <w:p w14:paraId="01D21D16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74B29534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29 subjects started medical treatment at Tanner stage 2-3, 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 xml:space="preserve">49 at Tanner stage 4-5 and 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>136 as adults</w:t>
            </w:r>
          </w:p>
          <w:p w14:paraId="0212DF49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290CB396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24095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lastRenderedPageBreak/>
              <w:t>In 100% of subjects who initiated medical treatment in Tanner stage 2-3 the orchiectomy specimen presented immature germ cell</w:t>
            </w:r>
          </w:p>
          <w:p w14:paraId="598482B9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4B97D0F1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Initiation of medical treatment in early pubertal adolescents limits the ability to retrieve mature spermatozoa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that can directly be used for assisted reproductive techniques (maturation techniques in vitro seem to be necessary)</w:t>
            </w:r>
          </w:p>
          <w:p w14:paraId="1A37904F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60A7E99C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Spermatogenesis is more negatively affected by GAHT started in adults: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complete absence of germ cells only in 15 subject (7%) who all initiated GAHT as adults</w:t>
            </w:r>
          </w:p>
          <w:p w14:paraId="24B9E761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0AEE48B0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No association between duration of GAHT and the possibility for 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lastRenderedPageBreak/>
              <w:t xml:space="preserve">preservation of spermatozoa (OR 0.75) or </w:t>
            </w: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spermatogonial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stem cells (OR 1.03)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7303F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  <w:lastRenderedPageBreak/>
              <w:t>Strenghts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  <w:t>:</w:t>
            </w:r>
          </w:p>
          <w:p w14:paraId="7BB2D672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Detailed analysis of germ cell development by Tanner stage</w:t>
            </w:r>
          </w:p>
          <w:p w14:paraId="16D9D378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3D926668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  <w:t xml:space="preserve">Limitations: </w:t>
            </w:r>
          </w:p>
          <w:p w14:paraId="346F6605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Lack of control group, 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 xml:space="preserve">lack of serum hormone data at surgery, varying hormone formulations used. 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9972C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Cambria Math" w:eastAsia="Palatino Linotype" w:hAnsi="Cambria Math" w:cs="Cambria Math"/>
                <w:sz w:val="24"/>
                <w:szCs w:val="24"/>
              </w:rPr>
              <w:t>⊕⊕⊖⊖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</w:t>
            </w:r>
          </w:p>
          <w:p w14:paraId="75194627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Low quality evidence</w:t>
            </w:r>
          </w:p>
          <w:p w14:paraId="65A537D5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0E5BD55A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</w:tr>
      <w:tr w:rsidR="0028440D" w:rsidRPr="0028440D" w14:paraId="3708B877" w14:textId="77777777" w:rsidTr="00044D8D"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54207602" w14:textId="4E8E85DA" w:rsidR="00044D8D" w:rsidRPr="0028440D" w:rsidRDefault="00044D8D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Pang 2020</w:t>
            </w:r>
            <w:r w:rsidR="009E2B87">
              <w:rPr>
                <w:rFonts w:ascii="Times New Roman" w:eastAsia="Palatino Linotype" w:hAnsi="Times New Roman" w:cs="Times New Roman"/>
                <w:sz w:val="24"/>
                <w:szCs w:val="24"/>
                <w:vertAlign w:val="superscript"/>
              </w:rPr>
              <w:t>50</w:t>
            </w:r>
          </w:p>
          <w:p w14:paraId="7C5C15F2" w14:textId="77777777" w:rsidR="00044D8D" w:rsidRPr="0028440D" w:rsidRDefault="00044D8D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Retrospective 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73C2E257" w14:textId="77777777" w:rsidR="00044D8D" w:rsidRPr="0028440D" w:rsidRDefault="00044D8D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102 adolescents (53 AMAB, 49 AFAB) </w:t>
            </w:r>
          </w:p>
          <w:p w14:paraId="16722682" w14:textId="77777777" w:rsidR="00044D8D" w:rsidRPr="0028440D" w:rsidRDefault="00044D8D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Age 10.8 - 18.3 y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>F/up: not reported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>Period: 2003-2017</w:t>
            </w:r>
          </w:p>
          <w:p w14:paraId="343C094B" w14:textId="77777777" w:rsidR="00044D8D" w:rsidRPr="0028440D" w:rsidRDefault="00044D8D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Region: Australia (Melbourne)</w:t>
            </w:r>
          </w:p>
          <w:p w14:paraId="7E3D4155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No direct control group</w:t>
            </w:r>
          </w:p>
        </w:tc>
        <w:tc>
          <w:tcPr>
            <w:tcW w:w="1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0F0057D6" w14:textId="77777777" w:rsidR="00044D8D" w:rsidRPr="0028440D" w:rsidRDefault="00044D8D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Medical record review assessing fertility </w:t>
            </w: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counseling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and preservation uptake among transgender adolescents receiving hormonal treatment</w:t>
            </w:r>
          </w:p>
        </w:tc>
        <w:tc>
          <w:tcPr>
            <w:tcW w:w="171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1B366D42" w14:textId="77777777" w:rsidR="00044D8D" w:rsidRPr="0028440D" w:rsidRDefault="00044D8D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GnRHa, and GAHT; fertility preservation options assessed before hormone therapy initiation</w:t>
            </w:r>
          </w:p>
          <w:p w14:paraId="120A3F84" w14:textId="77777777" w:rsidR="00044D8D" w:rsidRPr="0028440D" w:rsidRDefault="00044D8D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(no details available)</w:t>
            </w:r>
          </w:p>
        </w:tc>
        <w:tc>
          <w:tcPr>
            <w:tcW w:w="42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2E3369D2" w14:textId="77777777" w:rsidR="00044D8D" w:rsidRPr="0028440D" w:rsidRDefault="00044D8D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While none of AFAB pursued fertility preservation, 62% of AMAB pursued fertility preservation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(43.4% before </w:t>
            </w: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GnRHa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, 56.6% before </w:t>
            </w: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estrogen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): ⅔ froze sperm after providing a masturbatory sample (mean age 15.6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highlight w:val="white"/>
              </w:rPr>
              <w:t>±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1.4 y), ⅓ 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highlight w:val="white"/>
              </w:rPr>
              <w:t>underwent testicular biopsy (mean age 13.9±1.5 y) 45% with mature sperm, 55% with germ cells only, all of which were cryopreserved</w:t>
            </w:r>
          </w:p>
        </w:tc>
        <w:tc>
          <w:tcPr>
            <w:tcW w:w="18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056F5FFB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  <w:t>Strenghts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  <w:t>:</w:t>
            </w:r>
          </w:p>
          <w:p w14:paraId="1CC1C6A0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  <w:t>Limitations:</w:t>
            </w:r>
          </w:p>
          <w:p w14:paraId="50EDA292" w14:textId="77777777" w:rsidR="00044D8D" w:rsidRPr="0028440D" w:rsidRDefault="00044D8D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No control group, potential selection bias, and differing access to fertility preservation options</w:t>
            </w:r>
          </w:p>
        </w:tc>
        <w:tc>
          <w:tcPr>
            <w:tcW w:w="18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47828897" w14:textId="77777777" w:rsidR="00044D8D" w:rsidRPr="0028440D" w:rsidRDefault="00044D8D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Cambria Math" w:eastAsia="Palatino Linotype" w:hAnsi="Cambria Math" w:cs="Cambria Math"/>
                <w:sz w:val="24"/>
                <w:szCs w:val="24"/>
              </w:rPr>
              <w:t>⊕⊕⊖⊖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>Low quality evidence</w:t>
            </w:r>
          </w:p>
          <w:p w14:paraId="75BEE29E" w14:textId="77777777" w:rsidR="00044D8D" w:rsidRPr="0028440D" w:rsidRDefault="00044D8D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</w:tr>
      <w:tr w:rsidR="0028440D" w:rsidRPr="0028440D" w14:paraId="71B98189" w14:textId="77777777" w:rsidTr="00044D8D"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64998AD0" w14:textId="5EF0F77B" w:rsidR="00044D8D" w:rsidRPr="0028440D" w:rsidRDefault="00044D8D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Segev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-Becker 2020</w:t>
            </w:r>
            <w:r w:rsidR="001659CB" w:rsidRPr="0028440D">
              <w:rPr>
                <w:rFonts w:ascii="Times New Roman" w:eastAsia="Palatino Linotype" w:hAnsi="Times New Roman" w:cs="Times New Roman"/>
                <w:sz w:val="24"/>
                <w:szCs w:val="24"/>
                <w:vertAlign w:val="superscript"/>
              </w:rPr>
              <w:t>5</w:t>
            </w:r>
            <w:r w:rsidR="009E2B87">
              <w:rPr>
                <w:rFonts w:ascii="Times New Roman" w:eastAsia="Palatino Linotype" w:hAnsi="Times New Roman" w:cs="Times New Roman"/>
                <w:sz w:val="24"/>
                <w:szCs w:val="24"/>
                <w:vertAlign w:val="superscript"/>
              </w:rPr>
              <w:t>4</w:t>
            </w:r>
          </w:p>
          <w:p w14:paraId="716F48BE" w14:textId="77777777" w:rsidR="00044D8D" w:rsidRPr="0028440D" w:rsidRDefault="00044D8D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Retrospective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5546928A" w14:textId="77777777" w:rsidR="00044D8D" w:rsidRPr="0028440D" w:rsidRDefault="00044D8D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106 adolescents (47 AMAB, 59 AFAB)</w:t>
            </w:r>
          </w:p>
          <w:p w14:paraId="0F70992B" w14:textId="77777777" w:rsidR="00044D8D" w:rsidRPr="0028440D" w:rsidRDefault="00044D8D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10 pre-pubertal: (9 AMAB, 1 AFAB) age 4.3-10.5 y</w:t>
            </w:r>
          </w:p>
          <w:p w14:paraId="6DB0C2B6" w14:textId="77777777" w:rsidR="00044D8D" w:rsidRPr="0028440D" w:rsidRDefault="00044D8D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96 pubertal: 38 AMAB (15.9±1.7 y), 58 AFAB (15.2±1.7 y)</w:t>
            </w:r>
          </w:p>
          <w:p w14:paraId="312AB3E2" w14:textId="77777777" w:rsidR="00044D8D" w:rsidRPr="0028440D" w:rsidRDefault="00044D8D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F/up: not reported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lang w:val="en-US"/>
              </w:rPr>
              <w:lastRenderedPageBreak/>
              <w:t>Period: 2013-2018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lang w:val="en-US"/>
              </w:rPr>
              <w:t>Region: Israel (Tel Aviv)</w:t>
            </w:r>
          </w:p>
          <w:p w14:paraId="4E43B101" w14:textId="77777777" w:rsidR="00044D8D" w:rsidRPr="0028440D" w:rsidRDefault="00044D8D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No direct control group</w:t>
            </w:r>
          </w:p>
        </w:tc>
        <w:tc>
          <w:tcPr>
            <w:tcW w:w="1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15EA4D48" w14:textId="77777777" w:rsidR="00044D8D" w:rsidRPr="0028440D" w:rsidRDefault="00044D8D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lastRenderedPageBreak/>
              <w:t>Review of medical records for demographic data, treatment initiation, and fertility preservation consultation</w:t>
            </w:r>
          </w:p>
        </w:tc>
        <w:tc>
          <w:tcPr>
            <w:tcW w:w="171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58A3756F" w14:textId="77777777" w:rsidR="00044D8D" w:rsidRPr="0028440D" w:rsidRDefault="00044D8D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GnRHa in 77 (80%)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>Mean age at start 15.9±1.6 y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 xml:space="preserve">Duration: </w:t>
            </w: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n.a.</w:t>
            </w:r>
            <w:proofErr w:type="spellEnd"/>
          </w:p>
          <w:p w14:paraId="11DCF899" w14:textId="77777777" w:rsidR="00044D8D" w:rsidRPr="0028440D" w:rsidRDefault="00044D8D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GAHT in 61 (64%)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 xml:space="preserve">Age: 16.5±1.3 y 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 xml:space="preserve">Duration: </w:t>
            </w: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n.a.</w:t>
            </w:r>
            <w:proofErr w:type="spellEnd"/>
          </w:p>
        </w:tc>
        <w:tc>
          <w:tcPr>
            <w:tcW w:w="42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6539ADD1" w14:textId="77777777" w:rsidR="00044D8D" w:rsidRPr="0028440D" w:rsidRDefault="00044D8D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  <w:highlight w:val="white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highlight w:val="white"/>
              </w:rPr>
              <w:t>31% received formal fertility preservation consultation; 45% of AMAB and 6.5% of AFAB completed fertility preservation prior to hormonal treatment</w:t>
            </w:r>
          </w:p>
          <w:p w14:paraId="70CE1984" w14:textId="77777777" w:rsidR="00044D8D" w:rsidRPr="0028440D" w:rsidRDefault="00044D8D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Individuals who presented as transgender at younger age were more likely to undergo fertility preservation (p=0.07)</w:t>
            </w:r>
          </w:p>
          <w:p w14:paraId="2DB5E10E" w14:textId="77777777" w:rsidR="00044D8D" w:rsidRPr="0028440D" w:rsidRDefault="00044D8D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3587928E" w14:textId="77777777" w:rsidR="00044D8D" w:rsidRPr="0028440D" w:rsidRDefault="00044D8D" w:rsidP="00AF0601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  <w:t>Strenghts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  <w:t>:</w:t>
            </w:r>
          </w:p>
          <w:p w14:paraId="2D0E1B77" w14:textId="77777777" w:rsidR="00044D8D" w:rsidRPr="0028440D" w:rsidRDefault="00044D8D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  <w:t>Limitations: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>Retrospective, lack of control group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>Potential referral bias, no data on fertility as an outcome, no hormonal data</w:t>
            </w:r>
          </w:p>
        </w:tc>
        <w:tc>
          <w:tcPr>
            <w:tcW w:w="18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114081D2" w14:textId="77777777" w:rsidR="00044D8D" w:rsidRPr="0028440D" w:rsidRDefault="00044D8D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Cambria Math" w:eastAsia="Palatino Linotype" w:hAnsi="Cambria Math" w:cs="Cambria Math"/>
                <w:sz w:val="24"/>
                <w:szCs w:val="24"/>
              </w:rPr>
              <w:t>⊕⊖⊖⊖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 xml:space="preserve">Very </w:t>
            </w:r>
            <w:proofErr w:type="gram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low quality</w:t>
            </w:r>
            <w:proofErr w:type="gram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evidence</w:t>
            </w:r>
          </w:p>
          <w:p w14:paraId="72C103BE" w14:textId="77777777" w:rsidR="00044D8D" w:rsidRPr="0028440D" w:rsidRDefault="00044D8D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</w:tr>
      <w:tr w:rsidR="0028440D" w:rsidRPr="0028440D" w14:paraId="07243ED5" w14:textId="77777777" w:rsidTr="007E72B9">
        <w:tc>
          <w:tcPr>
            <w:tcW w:w="148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74AB6C29" w14:textId="77777777" w:rsidR="001659CB" w:rsidRPr="0028440D" w:rsidRDefault="001659CB" w:rsidP="001659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Side effects and cancer</w:t>
            </w:r>
          </w:p>
          <w:p w14:paraId="6F6169C9" w14:textId="77777777" w:rsidR="001659CB" w:rsidRPr="0028440D" w:rsidRDefault="001659CB" w:rsidP="001659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</w:tr>
      <w:tr w:rsidR="0028440D" w:rsidRPr="0028440D" w14:paraId="61F691C6" w14:textId="77777777" w:rsidTr="00044D8D"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148B19C5" w14:textId="1057B3C4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Karamanis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2023</w:t>
            </w:r>
            <w:r w:rsidR="009E2B87">
              <w:rPr>
                <w:rFonts w:ascii="Times New Roman" w:eastAsia="Palatino Linotype" w:hAnsi="Times New Roman" w:cs="Times New Roman"/>
                <w:sz w:val="24"/>
                <w:szCs w:val="24"/>
                <w:vertAlign w:val="superscript"/>
              </w:rPr>
              <w:t>32</w:t>
            </w:r>
          </w:p>
          <w:p w14:paraId="37684A5F" w14:textId="77777777" w:rsidR="001659CB" w:rsidRPr="0028440D" w:rsidRDefault="001659CB" w:rsidP="001659CB">
            <w:pPr>
              <w:spacing w:after="24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Retrospective  </w:t>
            </w:r>
          </w:p>
          <w:p w14:paraId="36F9F401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2E12ADDF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410 individuals (199 AMAB, 211 AFAB)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</w:r>
          </w:p>
          <w:p w14:paraId="1DA4FFE2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Age 17.8 y (10.7-75.6)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>F/up:  1.4 y (299 days-10.1 y) Period: 2006-2016</w:t>
            </w:r>
          </w:p>
          <w:p w14:paraId="5DF93999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Region: Sweden</w:t>
            </w:r>
          </w:p>
          <w:p w14:paraId="3D237AC6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Comparator: 3,820 individuals with GD not treated with GnRHa; 73,096 individuals without GD</w:t>
            </w:r>
          </w:p>
        </w:tc>
        <w:tc>
          <w:tcPr>
            <w:tcW w:w="1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1529CFC1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National registers analysis; Incidence rates of IIH calculated using Poisson distribution from Swedish national registers. F/up from first GD diagnosis or GnRHa initiation, censored at death or emigration</w:t>
            </w:r>
          </w:p>
        </w:tc>
        <w:tc>
          <w:tcPr>
            <w:tcW w:w="171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0013E015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GnRHa; median age 17.8 y; 73% followed for ≥240 days after GnRHa initiation </w:t>
            </w:r>
          </w:p>
        </w:tc>
        <w:tc>
          <w:tcPr>
            <w:tcW w:w="42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15882540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  <w:t>No change in incidence of intracranial hypertension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with or without GnRHa treatment </w:t>
            </w:r>
          </w:p>
          <w:p w14:paraId="2309D4C1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- in GD and GnRHa: n=0 (incidence rate per 100,000 per y: 0)</w:t>
            </w:r>
          </w:p>
          <w:p w14:paraId="4B33C2B4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- in GD and no GnRHa: n=2 (incidence rate per 100,000 per y 15.7)</w:t>
            </w:r>
          </w:p>
          <w:p w14:paraId="1BC14BCF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- in individuals without GD and without exposure to GnRHa: n=8 (incidence rate per 100,00 per y of 3.2)</w:t>
            </w:r>
          </w:p>
        </w:tc>
        <w:tc>
          <w:tcPr>
            <w:tcW w:w="18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61860490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  <w:t>Strenghts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  <w:t>: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Comparator group</w:t>
            </w:r>
          </w:p>
          <w:p w14:paraId="6D69E346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  <w:t>Limitations:</w:t>
            </w:r>
          </w:p>
          <w:p w14:paraId="1240E1E7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Few cases, wide f/up range</w:t>
            </w:r>
          </w:p>
          <w:p w14:paraId="5E271CEE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1D8DB147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5FD6A9F6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494332E9" w14:textId="77777777" w:rsidR="001659CB" w:rsidRPr="0028440D" w:rsidRDefault="001659CB" w:rsidP="001659CB">
            <w:pPr>
              <w:spacing w:line="240" w:lineRule="auto"/>
              <w:jc w:val="center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3204E7BE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Cambria Math" w:eastAsia="Palatino Linotype" w:hAnsi="Cambria Math" w:cs="Cambria Math"/>
                <w:sz w:val="24"/>
                <w:szCs w:val="24"/>
              </w:rPr>
              <w:t>⊕⊕⊖⊖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>Low quality evidence</w:t>
            </w:r>
          </w:p>
          <w:p w14:paraId="013B285D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55881E13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</w:tr>
      <w:tr w:rsidR="0028440D" w:rsidRPr="0028440D" w14:paraId="7607046A" w14:textId="77777777" w:rsidTr="00044D8D"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4B433A30" w14:textId="0F16CFB0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Khat</w:t>
            </w:r>
            <w:r w:rsidR="009E2B87">
              <w:rPr>
                <w:rFonts w:ascii="Times New Roman" w:eastAsia="Palatino Linotype" w:hAnsi="Times New Roman" w:cs="Times New Roman"/>
                <w:sz w:val="24"/>
                <w:szCs w:val="24"/>
              </w:rPr>
              <w:t>C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hadourian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2014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vertAlign w:val="superscript"/>
              </w:rPr>
              <w:t>4</w:t>
            </w:r>
            <w:r w:rsidR="009E2B87">
              <w:rPr>
                <w:rFonts w:ascii="Times New Roman" w:eastAsia="Palatino Linotype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6D1C146F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lastRenderedPageBreak/>
              <w:t>Retrospective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6948CDB9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lastRenderedPageBreak/>
              <w:t xml:space="preserve">84 adolescents with GD (45 AMAB, 37 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lastRenderedPageBreak/>
              <w:t>AFAB, 2 natal males undecided)</w:t>
            </w:r>
          </w:p>
          <w:p w14:paraId="29092586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Age: 16.9 y 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>F/up: mean 2 y (range 0.0-11.3)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>Period: 1998-2011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>Region: Canada (Vancouver)</w:t>
            </w:r>
          </w:p>
          <w:p w14:paraId="5EF14E0F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Comparator group: pre vs post</w:t>
            </w:r>
          </w:p>
        </w:tc>
        <w:tc>
          <w:tcPr>
            <w:tcW w:w="1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6A4C811E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lastRenderedPageBreak/>
              <w:t xml:space="preserve">UGDS, Piers-Harris Children’s 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lastRenderedPageBreak/>
              <w:t>Self Concept Scale, GIQA</w:t>
            </w:r>
          </w:p>
        </w:tc>
        <w:tc>
          <w:tcPr>
            <w:tcW w:w="171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14025CC7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lastRenderedPageBreak/>
              <w:t>GnRHa in 27 (15 AMAB, 11 AFAB)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lastRenderedPageBreak/>
              <w:t>Age at start: 14.7±1.9y</w:t>
            </w:r>
          </w:p>
          <w:p w14:paraId="39AE01F4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GAHT in 63 (39 AMAB, 24 AFAB): 17.4±1.9y</w:t>
            </w:r>
          </w:p>
        </w:tc>
        <w:tc>
          <w:tcPr>
            <w:tcW w:w="42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638DC84D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lastRenderedPageBreak/>
              <w:t>1 sterile abscess with leuprolide acetate (switched to triptorelin, well tolerated)</w:t>
            </w:r>
          </w:p>
          <w:p w14:paraId="514A29EF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lastRenderedPageBreak/>
              <w:t>1 leg pains and headaches, resolved without treatment</w:t>
            </w:r>
          </w:p>
          <w:p w14:paraId="2537883F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1 weight gain (19 kg within 9 m), BMI was already &gt;85</w:t>
            </w:r>
            <w:proofErr w:type="gram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th  before</w:t>
            </w:r>
            <w:proofErr w:type="gram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initiation of GnRHa.</w:t>
            </w:r>
          </w:p>
          <w:p w14:paraId="5E72AB3B" w14:textId="77777777" w:rsidR="001659CB" w:rsidRPr="0028440D" w:rsidRDefault="001659CB" w:rsidP="001659CB">
            <w:pPr>
              <w:spacing w:after="240" w:line="240" w:lineRule="auto"/>
              <w:ind w:left="100" w:right="100"/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</w:t>
            </w:r>
          </w:p>
          <w:p w14:paraId="701FE82C" w14:textId="77777777" w:rsidR="001659CB" w:rsidRPr="0028440D" w:rsidRDefault="001659CB" w:rsidP="001659CB">
            <w:pPr>
              <w:spacing w:after="240" w:line="240" w:lineRule="auto"/>
              <w:ind w:left="100" w:right="100"/>
              <w:rPr>
                <w:rFonts w:ascii="Times New Roman" w:eastAsia="Palatino Linotype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131AD5DA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  <w:lastRenderedPageBreak/>
              <w:t>Strengths:</w:t>
            </w:r>
          </w:p>
          <w:p w14:paraId="078AB509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6F4FCD85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</w:pPr>
          </w:p>
          <w:p w14:paraId="638C4A72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  <w:lastRenderedPageBreak/>
              <w:t xml:space="preserve">Limitations: 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>small sample size; no untreated control group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>Few cases (secondary outcome)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 xml:space="preserve">Wide f/up duration, short f/up </w:t>
            </w:r>
          </w:p>
        </w:tc>
        <w:tc>
          <w:tcPr>
            <w:tcW w:w="18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1810DD3F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Cambria Math" w:eastAsia="Palatino Linotype" w:hAnsi="Cambria Math" w:cs="Cambria Math"/>
                <w:sz w:val="24"/>
                <w:szCs w:val="24"/>
              </w:rPr>
              <w:lastRenderedPageBreak/>
              <w:t>⊕⊖⊖⊖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 xml:space="preserve">Very </w:t>
            </w:r>
            <w:proofErr w:type="gram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low 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lastRenderedPageBreak/>
              <w:t>quality</w:t>
            </w:r>
            <w:proofErr w:type="gram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evidence</w:t>
            </w:r>
          </w:p>
          <w:p w14:paraId="5A046797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</w:tr>
      <w:tr w:rsidR="0028440D" w:rsidRPr="0028440D" w14:paraId="48BE0B9B" w14:textId="77777777" w:rsidTr="00044D8D"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06413A51" w14:textId="61239CE3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lastRenderedPageBreak/>
              <w:t>Perl 202</w:t>
            </w:r>
            <w:r w:rsidR="009E2B87">
              <w:rPr>
                <w:rFonts w:ascii="Times New Roman" w:eastAsia="Palatino Linotype" w:hAnsi="Times New Roman" w:cs="Times New Roman"/>
                <w:sz w:val="24"/>
                <w:szCs w:val="24"/>
              </w:rPr>
              <w:t>0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vertAlign w:val="superscript"/>
              </w:rPr>
              <w:t>5</w:t>
            </w:r>
            <w:r w:rsidR="009E2B87">
              <w:rPr>
                <w:rFonts w:ascii="Times New Roman" w:eastAsia="Palatino Linotype" w:hAnsi="Times New Roman" w:cs="Times New Roman"/>
                <w:sz w:val="24"/>
                <w:szCs w:val="24"/>
                <w:vertAlign w:val="superscript"/>
              </w:rPr>
              <w:t>1</w:t>
            </w:r>
          </w:p>
          <w:p w14:paraId="0F66E6CF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Retrospective </w:t>
            </w:r>
          </w:p>
          <w:p w14:paraId="79B13B35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1F39604F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77307A82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19D8B5D4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29C44F5F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19 adolescents (all AMAB); mean age at GnRHa initiation 15.7± 1.6 y </w:t>
            </w:r>
          </w:p>
          <w:p w14:paraId="6B25C2AE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F/up:  ≥2 m (9±6 m)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lang w:val="it-IT"/>
              </w:rPr>
              <w:t>Period: 2013-2020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lang w:val="it-IT"/>
              </w:rPr>
              <w:br/>
              <w:t>Region: Israel (Tel Aviv)</w:t>
            </w:r>
          </w:p>
          <w:p w14:paraId="22AA7EE1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  <w:lang w:val="it-IT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lang w:val="it-IT"/>
              </w:rPr>
              <w:t>Comparator: pre-post</w:t>
            </w:r>
          </w:p>
        </w:tc>
        <w:tc>
          <w:tcPr>
            <w:tcW w:w="17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01D24659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Medical record review </w:t>
            </w:r>
          </w:p>
          <w:p w14:paraId="7AE1782E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BP measured every 4 m</w:t>
            </w:r>
          </w:p>
          <w:p w14:paraId="36CC713A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were converted to BP percentiles for the assigned sex at birth (male)</w:t>
            </w:r>
          </w:p>
          <w:p w14:paraId="5C2099DB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Anthropometric, hormonal levels, smoking, alcohol consumption, drug abuse and reported 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lastRenderedPageBreak/>
              <w:t>anxiety diagnosis</w:t>
            </w:r>
          </w:p>
        </w:tc>
        <w:tc>
          <w:tcPr>
            <w:tcW w:w="171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69BB53F4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lastRenderedPageBreak/>
              <w:t xml:space="preserve">GnRHa; age at start GnRHa 15.7±1.6 y  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 xml:space="preserve">F/up GnRHa: </w:t>
            </w:r>
          </w:p>
          <w:p w14:paraId="529098F9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GAHT (</w:t>
            </w: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estrogen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) (n=15); age at start 18.5±1.5 y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 xml:space="preserve">f/up </w:t>
            </w: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estrogen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: 18.5 m (range 3–63 m)</w:t>
            </w:r>
          </w:p>
          <w:p w14:paraId="1049606D" w14:textId="77777777" w:rsidR="001659CB" w:rsidRPr="0028440D" w:rsidRDefault="001659CB" w:rsidP="001659CB">
            <w:pPr>
              <w:spacing w:before="240"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6A04F283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No significant changes in SBP and DBP percentiles after </w:t>
            </w: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GnRHa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and </w:t>
            </w: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estrogen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treatment</w:t>
            </w:r>
          </w:p>
          <w:p w14:paraId="5AD87F47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3E97B204" w14:textId="77777777" w:rsidR="001659CB" w:rsidRPr="0028440D" w:rsidRDefault="001659CB" w:rsidP="001659CB">
            <w:pPr>
              <w:spacing w:before="240"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5C951A85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  <w:t>Strenghts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  <w:t>:</w:t>
            </w:r>
          </w:p>
          <w:p w14:paraId="5F273CB4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  <w:t xml:space="preserve">Limitations: </w:t>
            </w:r>
          </w:p>
          <w:p w14:paraId="7F509DCD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Small sample size, no untreated control group, short F/up</w:t>
            </w:r>
          </w:p>
          <w:p w14:paraId="52C2CE90" w14:textId="77777777" w:rsidR="001659CB" w:rsidRPr="0028440D" w:rsidRDefault="001659CB" w:rsidP="001659CB">
            <w:pPr>
              <w:spacing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167B455A" w14:textId="77777777" w:rsidR="001659CB" w:rsidRPr="0028440D" w:rsidRDefault="001659CB" w:rsidP="001659CB">
            <w:pPr>
              <w:spacing w:line="240" w:lineRule="auto"/>
              <w:jc w:val="center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100" w:type="dxa"/>
              <w:right w:w="100" w:type="dxa"/>
            </w:tcMar>
          </w:tcPr>
          <w:p w14:paraId="12205BC6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Cambria Math" w:eastAsia="Palatino Linotype" w:hAnsi="Cambria Math" w:cs="Cambria Math"/>
                <w:sz w:val="24"/>
                <w:szCs w:val="24"/>
              </w:rPr>
              <w:t>⊕⊖⊖⊖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 xml:space="preserve">Very </w:t>
            </w:r>
            <w:proofErr w:type="gram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low quality</w:t>
            </w:r>
            <w:proofErr w:type="gram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evidence</w:t>
            </w:r>
          </w:p>
          <w:p w14:paraId="7E6D78BE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</w:tr>
      <w:tr w:rsidR="0028440D" w:rsidRPr="0028440D" w14:paraId="5CC01FFA" w14:textId="77777777" w:rsidTr="00044D8D"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D01971" w14:textId="635162B6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Schagen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2016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vertAlign w:val="superscript"/>
              </w:rPr>
              <w:t>1</w:t>
            </w:r>
            <w:r w:rsidR="009E2B87">
              <w:rPr>
                <w:rFonts w:ascii="Times New Roman" w:eastAsia="Palatino Linotype" w:hAnsi="Times New Roman" w:cs="Times New Roman"/>
                <w:sz w:val="24"/>
                <w:szCs w:val="24"/>
                <w:vertAlign w:val="superscript"/>
              </w:rPr>
              <w:t>0</w:t>
            </w:r>
          </w:p>
          <w:p w14:paraId="736CDF9C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32CB6287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Prospective 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8F9C73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116 adolescents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>(49 AMAB, 67 AFAB)</w:t>
            </w:r>
          </w:p>
          <w:p w14:paraId="0371C597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3EB5F537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Age (median): 13.6 y (AMAB) -14.2 y (AFAB)</w:t>
            </w:r>
          </w:p>
          <w:p w14:paraId="658D2422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72B00E6E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F/up: 3 m - 3 y</w:t>
            </w:r>
          </w:p>
          <w:p w14:paraId="6726893F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Period: 1998 - 2009 </w:t>
            </w:r>
          </w:p>
          <w:p w14:paraId="4C6C1652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Region: Netherlands (Amsterdam)</w:t>
            </w:r>
          </w:p>
          <w:p w14:paraId="69A118DC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64439E4A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Comparator group: pre vs post</w:t>
            </w:r>
          </w:p>
          <w:p w14:paraId="111C6C14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6B0406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Physical exams every 3 m</w:t>
            </w:r>
          </w:p>
          <w:p w14:paraId="46861BF7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Blood tests for hormones and liver/renal function every 3-6 m</w:t>
            </w:r>
          </w:p>
          <w:p w14:paraId="21EBBF01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DXA for body composition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7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0B4EE5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GnRHa (triptorelin 3.75 mg at 0, 2, and 4 </w:t>
            </w: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wks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, then every 4 </w:t>
            </w: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wks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)</w:t>
            </w:r>
          </w:p>
          <w:p w14:paraId="08DE969D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range of age at start: AMAB 11.6-17.9 y, AFAB 11.1-18.6 y; for at least 3 m; mean duration not specified</w:t>
            </w:r>
          </w:p>
        </w:tc>
        <w:tc>
          <w:tcPr>
            <w:tcW w:w="42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44BC68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No abnormalities in LFT or creatinine</w:t>
            </w:r>
          </w:p>
        </w:tc>
        <w:tc>
          <w:tcPr>
            <w:tcW w:w="18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FCC48A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  <w:t>Strenghts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  <w:t xml:space="preserve">: 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Prospective </w:t>
            </w:r>
          </w:p>
          <w:p w14:paraId="350CA50B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  <w:t>Limitations:</w:t>
            </w:r>
          </w:p>
          <w:p w14:paraId="412478B4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No control group, wide f/up range, secondary outcome. Small sample size </w:t>
            </w:r>
          </w:p>
        </w:tc>
        <w:tc>
          <w:tcPr>
            <w:tcW w:w="18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3765D6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Cambria Math" w:eastAsia="Palatino Linotype" w:hAnsi="Cambria Math" w:cs="Cambria Math"/>
                <w:sz w:val="24"/>
                <w:szCs w:val="24"/>
              </w:rPr>
              <w:t>⊕⊕⊖⊖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>Low quality evidence</w:t>
            </w:r>
          </w:p>
          <w:p w14:paraId="7B4A916A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76B98511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4632DD3A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285DE43F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350A0720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</w:tr>
      <w:tr w:rsidR="0028440D" w:rsidRPr="0028440D" w14:paraId="00F5B3C0" w14:textId="77777777" w:rsidTr="00044D8D"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97B35A" w14:textId="20E0012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Segev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-Becker 2020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vertAlign w:val="superscript"/>
              </w:rPr>
              <w:t>5</w:t>
            </w:r>
            <w:r w:rsidR="009E2B87">
              <w:rPr>
                <w:rFonts w:ascii="Times New Roman" w:eastAsia="Palatino Linotype" w:hAnsi="Times New Roman" w:cs="Times New Roman"/>
                <w:sz w:val="24"/>
                <w:szCs w:val="24"/>
                <w:vertAlign w:val="superscript"/>
              </w:rPr>
              <w:t>4</w:t>
            </w:r>
          </w:p>
          <w:p w14:paraId="43C8755D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7C4B3950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Retrospective </w:t>
            </w:r>
          </w:p>
          <w:p w14:paraId="6CE2ABAB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4EE0B7D4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F931D6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106 adolescents (47 AMAB, 59 AFAB)</w:t>
            </w:r>
          </w:p>
          <w:p w14:paraId="7BF98ED8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2FE9E5D6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10 pre-pubertal: (9 AMAB, 1 AFAB) age 4.3-10.5 y</w:t>
            </w:r>
          </w:p>
          <w:p w14:paraId="3B2315D7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4C099D71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96 pubertal: 38 AMAB (15.9±1.7 y), 58 AFAB (15.2±1.7 y)</w:t>
            </w:r>
          </w:p>
          <w:p w14:paraId="27E9C4B4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4E2C0043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F/up: non reported</w:t>
            </w:r>
          </w:p>
          <w:p w14:paraId="0912E023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  <w:lang w:val="en-US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lang w:val="en-US"/>
              </w:rPr>
              <w:t>Period: 2013-2018</w:t>
            </w:r>
          </w:p>
          <w:p w14:paraId="342D515E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  <w:lang w:val="en-US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lang w:val="en-US"/>
              </w:rPr>
              <w:t>Region: Israel (Tel Aviv)</w:t>
            </w:r>
          </w:p>
          <w:p w14:paraId="499754E5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  <w:lang w:val="en-US"/>
              </w:rPr>
            </w:pPr>
          </w:p>
          <w:p w14:paraId="4DA0B58C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Comparator group: pre vs post</w:t>
            </w:r>
          </w:p>
          <w:p w14:paraId="2961AC54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1CDEA5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lastRenderedPageBreak/>
              <w:t>Review of medical records for demographic data, treatment initiation, and fertility preservation consultation</w:t>
            </w:r>
          </w:p>
          <w:p w14:paraId="25962866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989D56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GnRHa in 77 (80%)</w:t>
            </w:r>
          </w:p>
          <w:p w14:paraId="55D89C45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Mean age at start 15.9±1.6 y</w:t>
            </w:r>
          </w:p>
          <w:p w14:paraId="71EFED76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Duration: </w:t>
            </w: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n.a.</w:t>
            </w:r>
            <w:proofErr w:type="spellEnd"/>
          </w:p>
          <w:p w14:paraId="1C75C560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6D21B0F0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GAHT in 61 (64%)</w:t>
            </w:r>
          </w:p>
          <w:p w14:paraId="408DE8D0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Age: 16.5±1.3 y </w:t>
            </w:r>
          </w:p>
          <w:p w14:paraId="1F2956B2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Duration: </w:t>
            </w: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n.a.</w:t>
            </w:r>
            <w:proofErr w:type="spellEnd"/>
          </w:p>
          <w:p w14:paraId="0FEFAA0F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5BA82F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GnRHa:</w:t>
            </w:r>
          </w:p>
          <w:p w14:paraId="6F500FC1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- exacerbation of depression in 1 individual</w:t>
            </w:r>
          </w:p>
          <w:p w14:paraId="6D79428A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- hot flashes in 7 AFAB, 2 AMAB</w:t>
            </w:r>
          </w:p>
          <w:p w14:paraId="5FFAA9D5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GAHT:</w:t>
            </w:r>
          </w:p>
          <w:p w14:paraId="2E523A67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- elevated prolactin levels in 1 AMAB</w:t>
            </w:r>
          </w:p>
          <w:p w14:paraId="23975C15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- brief clitoral pain 1 in 1 AFAB</w:t>
            </w:r>
          </w:p>
          <w:p w14:paraId="00B4633B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4F7A7E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  <w:t>Strenghts</w:t>
            </w:r>
            <w:proofErr w:type="spellEnd"/>
          </w:p>
          <w:p w14:paraId="3B1B061F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  <w:t xml:space="preserve">Limitations: </w:t>
            </w:r>
          </w:p>
          <w:p w14:paraId="16C6AA25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Few cases (secondary outcome). Small sample size</w:t>
            </w:r>
          </w:p>
        </w:tc>
        <w:tc>
          <w:tcPr>
            <w:tcW w:w="18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7A0530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Cambria Math" w:eastAsia="Palatino Linotype" w:hAnsi="Cambria Math" w:cs="Cambria Math"/>
                <w:sz w:val="24"/>
                <w:szCs w:val="24"/>
              </w:rPr>
              <w:t>⊕⊕⊖⊖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>Low quality evidence</w:t>
            </w:r>
          </w:p>
          <w:p w14:paraId="0A25E1AD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6A4F5827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</w:tr>
      <w:tr w:rsidR="0028440D" w:rsidRPr="0028440D" w14:paraId="69CA42A2" w14:textId="77777777" w:rsidTr="00044D8D"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FD8F95" w14:textId="253DE448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van </w:t>
            </w: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Heesewijk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2023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vertAlign w:val="superscript"/>
              </w:rPr>
              <w:t>5</w:t>
            </w:r>
            <w:r w:rsidR="009E2B87">
              <w:rPr>
                <w:rFonts w:ascii="Times New Roman" w:eastAsia="Palatino Linotype" w:hAnsi="Times New Roman" w:cs="Times New Roman"/>
                <w:sz w:val="24"/>
                <w:szCs w:val="24"/>
                <w:vertAlign w:val="superscript"/>
              </w:rPr>
              <w:t>8</w:t>
            </w:r>
          </w:p>
          <w:p w14:paraId="567A483B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Cross-sectional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31E39D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35 prepubertal children (20 AMAB, 15 AFAB), 41 adolescents with GD (20 AMAB, 21 AFAB)</w:t>
            </w:r>
          </w:p>
          <w:p w14:paraId="10F5D242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Age range for prepubertal children: 7.8–12.0 y; Age range for adolescents: 12.8–19.3 y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>F/up: not reported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>Period: not reported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>Region: Netherlands (Amsterdam)</w:t>
            </w:r>
          </w:p>
          <w:p w14:paraId="418FE7BF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lastRenderedPageBreak/>
              <w:t>Comparator: 79 cisgender peers</w:t>
            </w:r>
          </w:p>
        </w:tc>
        <w:tc>
          <w:tcPr>
            <w:tcW w:w="17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BA65F3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lastRenderedPageBreak/>
              <w:t>DTI data to measure fractional anisotropy (FA) values and white-matter microstructure</w:t>
            </w:r>
          </w:p>
        </w:tc>
        <w:tc>
          <w:tcPr>
            <w:tcW w:w="17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E5F3C5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GnRHa (triptorelin monthly injections)</w:t>
            </w:r>
          </w:p>
          <w:p w14:paraId="5DC593E6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Mean duration 22.7 m (range 2–48 m)</w:t>
            </w:r>
          </w:p>
        </w:tc>
        <w:tc>
          <w:tcPr>
            <w:tcW w:w="42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C7B565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Transgender adolescents showed lower FA (lower FA (indexing less longitudinal organization, </w:t>
            </w: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fiber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coherence, and myelination) in inferior </w:t>
            </w: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fronto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-occipital fasciculus, forceps major, and corpus callosum compared to cisgender peers; Negative correlation between FA values in right IFOF and cumulative GnRHa dose</w:t>
            </w:r>
          </w:p>
        </w:tc>
        <w:tc>
          <w:tcPr>
            <w:tcW w:w="18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86D18A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  <w:t xml:space="preserve">Strengths: </w:t>
            </w:r>
          </w:p>
          <w:p w14:paraId="6E2159B2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Control group </w:t>
            </w:r>
          </w:p>
          <w:p w14:paraId="107AF535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581DA953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04F5C267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  <w:t xml:space="preserve">Limitations: 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  <w:br/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Small sample, cross-sectional design, no masking in FA averaging</w:t>
            </w:r>
          </w:p>
        </w:tc>
        <w:tc>
          <w:tcPr>
            <w:tcW w:w="18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2F9673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Cambria Math" w:eastAsia="Palatino Linotype" w:hAnsi="Cambria Math" w:cs="Cambria Math"/>
                <w:sz w:val="24"/>
                <w:szCs w:val="24"/>
              </w:rPr>
              <w:t>⊕⊕⊖⊖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>Low quality evidence</w:t>
            </w:r>
          </w:p>
          <w:p w14:paraId="33AB99FD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593F3B14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</w:tr>
      <w:tr w:rsidR="0028440D" w:rsidRPr="0028440D" w14:paraId="572D66D8" w14:textId="77777777" w:rsidTr="00044D8D">
        <w:tc>
          <w:tcPr>
            <w:tcW w:w="1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6B2EED" w14:textId="07D88976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Walnder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2023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vertAlign w:val="superscript"/>
              </w:rPr>
              <w:t>5</w:t>
            </w:r>
            <w:r w:rsidR="009E2B87">
              <w:rPr>
                <w:rFonts w:ascii="Times New Roman" w:eastAsia="Palatino Linotype" w:hAnsi="Times New Roman" w:cs="Times New Roman"/>
                <w:sz w:val="24"/>
                <w:szCs w:val="24"/>
                <w:vertAlign w:val="superscript"/>
              </w:rPr>
              <w:t>9</w:t>
            </w:r>
          </w:p>
          <w:p w14:paraId="1DF3E70F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Retrospective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0F3DD54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33 adolescents (10 AMAB, 23 AFAB)</w:t>
            </w:r>
          </w:p>
          <w:p w14:paraId="167E9FCF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Age: 9-18 y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>F/up: not reported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lang w:val="en-US"/>
              </w:rPr>
              <w:t>Period: 2018- 2019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lang w:val="en-US"/>
              </w:rPr>
              <w:t>Region: Canada (Alberta)</w:t>
            </w:r>
          </w:p>
          <w:p w14:paraId="12C575D5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  <w:lang w:val="it-IT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lang w:val="it-IT"/>
              </w:rPr>
              <w:t>Comparator: pre-post</w:t>
            </w:r>
          </w:p>
        </w:tc>
        <w:tc>
          <w:tcPr>
            <w:tcW w:w="17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46379C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Retrospective analysis of electronic medical records, including ECG results and medication use; QTc intervals calculated using the </w:t>
            </w: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Bazett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formula</w:t>
            </w:r>
          </w:p>
        </w:tc>
        <w:tc>
          <w:tcPr>
            <w:tcW w:w="17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D01D3B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GnRHa (monthly or 3-monthly) </w:t>
            </w:r>
          </w:p>
          <w:p w14:paraId="06FE5E2B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Age 13.7±2.1 y</w:t>
            </w:r>
          </w:p>
          <w:p w14:paraId="676F434D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12 GnRHa + GAHT (7 testosterone - 5 </w:t>
            </w: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estradiol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)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2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75DD34" w14:textId="77777777" w:rsidR="001659CB" w:rsidRPr="0028440D" w:rsidRDefault="001659CB" w:rsidP="001659CB">
            <w:pPr>
              <w:spacing w:after="240" w:line="240" w:lineRule="auto"/>
              <w:ind w:right="100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No QTc prolongation &gt;460 </w:t>
            </w:r>
            <w:proofErr w:type="spell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ms</w:t>
            </w:r>
            <w:proofErr w:type="spell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observed; borderline QTc prolongation in 24.2% of youth; no significant difference in QTc interval from baseline</w:t>
            </w:r>
          </w:p>
        </w:tc>
        <w:tc>
          <w:tcPr>
            <w:tcW w:w="18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B3F3DF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  <w:t>Strengths</w:t>
            </w:r>
          </w:p>
          <w:p w14:paraId="089FA601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6FB02EBB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  <w:u w:val="single"/>
              </w:rPr>
              <w:t xml:space="preserve">Limitations: </w:t>
            </w:r>
          </w:p>
          <w:p w14:paraId="54FDA8E1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Small sample size, no untreated control group, lack of baseline ECG for some participants</w:t>
            </w:r>
          </w:p>
        </w:tc>
        <w:tc>
          <w:tcPr>
            <w:tcW w:w="18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449DC7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  <w:r w:rsidRPr="0028440D">
              <w:rPr>
                <w:rFonts w:ascii="Cambria Math" w:eastAsia="Palatino Linotype" w:hAnsi="Cambria Math" w:cs="Cambria Math"/>
                <w:sz w:val="24"/>
                <w:szCs w:val="24"/>
              </w:rPr>
              <w:t>⊕⊖⊖⊖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</w:t>
            </w:r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br/>
              <w:t xml:space="preserve">Very </w:t>
            </w:r>
            <w:proofErr w:type="gramStart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>low quality</w:t>
            </w:r>
            <w:proofErr w:type="gramEnd"/>
            <w:r w:rsidRPr="0028440D">
              <w:rPr>
                <w:rFonts w:ascii="Times New Roman" w:eastAsia="Palatino Linotype" w:hAnsi="Times New Roman" w:cs="Times New Roman"/>
                <w:sz w:val="24"/>
                <w:szCs w:val="24"/>
              </w:rPr>
              <w:t xml:space="preserve"> evidence</w:t>
            </w:r>
          </w:p>
          <w:p w14:paraId="3D658D32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  <w:p w14:paraId="7BE68FF3" w14:textId="77777777" w:rsidR="001659CB" w:rsidRPr="0028440D" w:rsidRDefault="001659CB" w:rsidP="001659CB">
            <w:pPr>
              <w:spacing w:after="0" w:line="240" w:lineRule="auto"/>
              <w:rPr>
                <w:rFonts w:ascii="Times New Roman" w:eastAsia="Palatino Linotype" w:hAnsi="Times New Roman" w:cs="Times New Roman"/>
                <w:sz w:val="24"/>
                <w:szCs w:val="24"/>
              </w:rPr>
            </w:pPr>
          </w:p>
        </w:tc>
      </w:tr>
    </w:tbl>
    <w:p w14:paraId="03CF5932" w14:textId="77777777" w:rsidR="00B5258A" w:rsidRPr="0028440D" w:rsidRDefault="00B5258A">
      <w:pPr>
        <w:spacing w:line="240" w:lineRule="auto"/>
        <w:rPr>
          <w:rFonts w:ascii="Times New Roman" w:eastAsia="Palatino Linotype" w:hAnsi="Times New Roman" w:cs="Times New Roman"/>
          <w:sz w:val="24"/>
          <w:szCs w:val="24"/>
        </w:rPr>
      </w:pPr>
    </w:p>
    <w:sectPr w:rsidR="00B5258A" w:rsidRPr="0028440D">
      <w:pgSz w:w="16838" w:h="11906" w:orient="landscape"/>
      <w:pgMar w:top="1134" w:right="1134" w:bottom="1134" w:left="1417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58A"/>
    <w:rsid w:val="00044D8D"/>
    <w:rsid w:val="001659CB"/>
    <w:rsid w:val="001C059C"/>
    <w:rsid w:val="0028440D"/>
    <w:rsid w:val="00347F29"/>
    <w:rsid w:val="00481B45"/>
    <w:rsid w:val="00947EA1"/>
    <w:rsid w:val="009E2B87"/>
    <w:rsid w:val="00A46923"/>
    <w:rsid w:val="00AF0601"/>
    <w:rsid w:val="00B5258A"/>
    <w:rsid w:val="00B6028F"/>
    <w:rsid w:val="00C026E1"/>
    <w:rsid w:val="00EE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3463E"/>
  <w15:docId w15:val="{A5C399D3-62F5-6B4E-9104-C4C93DA96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E5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E5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E5659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E5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E5659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E5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E5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E5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E5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Corpotesto"/>
    <w:link w:val="TitoloCarattere"/>
    <w:uiPriority w:val="10"/>
    <w:qFormat/>
    <w:rsid w:val="00DE5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DE565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qFormat/>
    <w:rsid w:val="00DE565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qFormat/>
    <w:rsid w:val="00DE5659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qFormat/>
    <w:rsid w:val="00DE5659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qFormat/>
    <w:rsid w:val="00DE5659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qFormat/>
    <w:rsid w:val="00DE565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qFormat/>
    <w:rsid w:val="00DE565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qFormat/>
    <w:rsid w:val="00DE565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qFormat/>
    <w:rsid w:val="00DE5659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DE5659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DE5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zioneCarattere">
    <w:name w:val="Citazione Carattere"/>
    <w:basedOn w:val="Carpredefinitoparagrafo"/>
    <w:link w:val="Citazione"/>
    <w:uiPriority w:val="29"/>
    <w:qFormat/>
    <w:rsid w:val="00DE5659"/>
    <w:rPr>
      <w:i/>
      <w:iCs/>
      <w:color w:val="404040" w:themeColor="text1" w:themeTint="BF"/>
    </w:rPr>
  </w:style>
  <w:style w:type="character" w:styleId="Enfasiintensa">
    <w:name w:val="Intense Emphasis"/>
    <w:basedOn w:val="Carpredefinitoparagrafo"/>
    <w:uiPriority w:val="21"/>
    <w:qFormat/>
    <w:rsid w:val="00DE5659"/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qFormat/>
    <w:rsid w:val="00DE5659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E5659"/>
    <w:rPr>
      <w:b/>
      <w:bCs/>
      <w:smallCaps/>
      <w:color w:val="365F91" w:themeColor="accent1" w:themeShade="BF"/>
      <w:spacing w:val="5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spacing w:after="160"/>
    </w:pPr>
    <w:rPr>
      <w:color w:val="595959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E5659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E5659"/>
    <w:pPr>
      <w:ind w:left="720"/>
      <w:contextualSpacing/>
    </w:p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E5659"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paragraph" w:styleId="NormaleWeb">
    <w:name w:val="Normal (Web)"/>
    <w:basedOn w:val="Normale"/>
    <w:uiPriority w:val="99"/>
    <w:semiHidden/>
    <w:unhideWhenUsed/>
    <w:qFormat/>
    <w:rsid w:val="003A518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53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/Y0BM/P3ph2FXADVby6qkGxX9mg==">CgMxLjA4AHIhMW5NRjVoZlJBMGFyZGJHRW9mQVQtMUpYcjdvR3NTeWtC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1426</Words>
  <Characters>8134</Characters>
  <Application>Microsoft Office Word</Application>
  <DocSecurity>0</DocSecurity>
  <Lines>67</Lines>
  <Paragraphs>19</Paragraphs>
  <ScaleCrop>false</ScaleCrop>
  <Company/>
  <LinksUpToDate>false</LinksUpToDate>
  <CharactersWithSpaces>9541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munarin</dc:creator>
  <cp:lastModifiedBy>Roberto Franceschi </cp:lastModifiedBy>
  <cp:revision>13</cp:revision>
  <dcterms:created xsi:type="dcterms:W3CDTF">2024-04-22T14:26:00Z</dcterms:created>
  <dcterms:modified xsi:type="dcterms:W3CDTF">2025-05-05T21:54:00Z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